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92" w:rsidRPr="00443DA0" w:rsidRDefault="00536A92" w:rsidP="00536A92">
      <w:pPr>
        <w:pStyle w:val="Bodytext1"/>
        <w:spacing w:line="600" w:lineRule="exact"/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:rsidR="000269FE" w:rsidRDefault="000269FE">
      <w:pPr>
        <w:pStyle w:val="Bodytext1"/>
        <w:spacing w:after="1140"/>
        <w:jc w:val="center"/>
        <w:rPr>
          <w:rFonts w:ascii="Times New Roman" w:hAnsi="Times New Roman" w:cs="Times New Roman"/>
          <w:b/>
          <w:bCs/>
          <w:lang w:val="en-US" w:eastAsia="zh-CN"/>
        </w:rPr>
      </w:pPr>
    </w:p>
    <w:p w:rsidR="000269FE" w:rsidRDefault="006B0D11">
      <w:pPr>
        <w:pStyle w:val="Bodytext1"/>
        <w:spacing w:after="1140"/>
        <w:jc w:val="center"/>
        <w:rPr>
          <w:rFonts w:ascii="Times New Roman" w:hAnsi="Times New Roman" w:cs="Times New Roman"/>
          <w:b/>
          <w:bCs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>燕山大学第</w:t>
      </w:r>
      <w:r w:rsidR="00E37ECE">
        <w:rPr>
          <w:rFonts w:ascii="Times New Roman" w:hAnsi="Times New Roman" w:cs="Times New Roman" w:hint="eastAsia"/>
          <w:b/>
          <w:bCs/>
          <w:lang w:val="en-US" w:eastAsia="zh-CN"/>
        </w:rPr>
        <w:t>六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>届课程思政教学竞赛</w:t>
      </w:r>
    </w:p>
    <w:p w:rsidR="000269FE" w:rsidRDefault="006B0D11">
      <w:pPr>
        <w:pStyle w:val="Bodytext1"/>
        <w:spacing w:after="1140"/>
        <w:jc w:val="center"/>
        <w:rPr>
          <w:sz w:val="52"/>
          <w:szCs w:val="52"/>
        </w:rPr>
      </w:pPr>
      <w:r>
        <w:rPr>
          <w:sz w:val="52"/>
          <w:szCs w:val="52"/>
        </w:rPr>
        <w:t>课程思政教学设计</w:t>
      </w: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6B0D11">
      <w:pPr>
        <w:pStyle w:val="Bodytext2"/>
        <w:tabs>
          <w:tab w:val="left" w:pos="4765"/>
        </w:tabs>
        <w:spacing w:after="480"/>
        <w:ind w:firstLineChars="864" w:firstLine="2419"/>
        <w:rPr>
          <w:lang w:val="en-US" w:eastAsia="zh-CN"/>
        </w:rPr>
      </w:pPr>
      <w:r>
        <w:t>竞赛组别：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</w:p>
    <w:p w:rsidR="000269FE" w:rsidRDefault="006B0D11">
      <w:pPr>
        <w:pStyle w:val="Bodytext2"/>
        <w:tabs>
          <w:tab w:val="left" w:pos="4765"/>
        </w:tabs>
        <w:spacing w:after="0"/>
        <w:ind w:firstLineChars="864" w:firstLine="2419"/>
        <w:rPr>
          <w:lang w:val="en-US" w:eastAsia="zh-CN"/>
        </w:rPr>
      </w:pPr>
      <w:r>
        <w:t>课程名称：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</w:p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p w:rsidR="000269FE" w:rsidRDefault="000269FE"/>
    <w:tbl>
      <w:tblPr>
        <w:tblW w:w="9719" w:type="dxa"/>
        <w:tblInd w:w="98" w:type="dxa"/>
        <w:tblLook w:val="04A0" w:firstRow="1" w:lastRow="0" w:firstColumn="1" w:lastColumn="0" w:noHBand="0" w:noVBand="1"/>
      </w:tblPr>
      <w:tblGrid>
        <w:gridCol w:w="2015"/>
        <w:gridCol w:w="7704"/>
      </w:tblGrid>
      <w:tr w:rsidR="000269FE">
        <w:trPr>
          <w:trHeight w:val="874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lastRenderedPageBreak/>
              <w:t>参赛组别</w:t>
            </w:r>
          </w:p>
        </w:tc>
        <w:tc>
          <w:tcPr>
            <w:tcW w:w="7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0269FE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500" w:firstLine="330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学时</w:t>
            </w:r>
          </w:p>
        </w:tc>
      </w:tr>
      <w:tr w:rsidR="000269FE">
        <w:trPr>
          <w:trHeight w:val="9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开课年级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0269FE">
        <w:trPr>
          <w:trHeight w:val="10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面向专业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0269FE">
        <w:trPr>
          <w:trHeight w:val="100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教学大纲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</w:tbl>
    <w:p w:rsidR="000269FE" w:rsidRDefault="000269FE"/>
    <w:tbl>
      <w:tblPr>
        <w:tblW w:w="8719" w:type="dxa"/>
        <w:tblInd w:w="98" w:type="dxa"/>
        <w:tblLook w:val="04A0" w:firstRow="1" w:lastRow="0" w:firstColumn="1" w:lastColumn="0" w:noHBand="0" w:noVBand="1"/>
      </w:tblPr>
      <w:tblGrid>
        <w:gridCol w:w="1229"/>
        <w:gridCol w:w="27"/>
        <w:gridCol w:w="540"/>
        <w:gridCol w:w="6870"/>
        <w:gridCol w:w="53"/>
      </w:tblGrid>
      <w:tr w:rsidR="000269FE">
        <w:trPr>
          <w:gridAfter w:val="1"/>
          <w:wAfter w:w="53" w:type="dxa"/>
          <w:trHeight w:val="5506"/>
        </w:trPr>
        <w:tc>
          <w:tcPr>
            <w:tcW w:w="1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lastRenderedPageBreak/>
              <w:t>课程简介及课程思政系统化设计思路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结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合办学定位、学生情况、专业人才培养要求，具体描述学习本课程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应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该达到的知识、能力、价值目标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、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介绍整门课程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“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课程思政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”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的体系化设计情况和思政元素的挖掘建设情况，</w:t>
            </w:r>
            <w:r>
              <w:rPr>
                <w:rStyle w:val="font31"/>
                <w:rFonts w:eastAsia="MingLiU"/>
                <w:sz w:val="18"/>
                <w:szCs w:val="18"/>
                <w:lang w:eastAsia="zh-CN" w:bidi="ar"/>
              </w:rPr>
              <w:t>1000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字左右）</w:t>
            </w: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</w:tc>
      </w:tr>
      <w:tr w:rsidR="000269FE">
        <w:trPr>
          <w:gridAfter w:val="1"/>
          <w:wAfter w:w="53" w:type="dxa"/>
          <w:trHeight w:val="8656"/>
        </w:trPr>
        <w:tc>
          <w:tcPr>
            <w:tcW w:w="1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课程思政教学内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容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及实现方式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（介绍整门课程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“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课程思政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”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如何融入、思政元素如何与课程内容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结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合、思政教育的具体实现途径等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。</w:t>
            </w:r>
            <w:r>
              <w:rPr>
                <w:rFonts w:eastAsia="MingLiU" w:hint="eastAsia"/>
                <w:sz w:val="21"/>
                <w:szCs w:val="21"/>
                <w:lang w:eastAsia="zh-CN" w:bidi="ar"/>
              </w:rPr>
              <w:t>1000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</w:t>
            </w:r>
          </w:p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左右）</w:t>
            </w:r>
          </w:p>
        </w:tc>
      </w:tr>
      <w:tr w:rsidR="000269FE">
        <w:trPr>
          <w:trHeight w:val="1386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Style w:val="font21"/>
                <w:sz w:val="21"/>
                <w:szCs w:val="21"/>
                <w:lang w:eastAsia="zh-CN" w:bidi="ar"/>
              </w:rPr>
              <w:lastRenderedPageBreak/>
              <w:t>课程思政</w:t>
            </w:r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典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型案例</w:t>
            </w:r>
          </w:p>
        </w:tc>
        <w:tc>
          <w:tcPr>
            <w:tcW w:w="7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Style w:val="font21"/>
                <w:sz w:val="21"/>
                <w:szCs w:val="21"/>
                <w:lang w:eastAsia="zh-CN" w:bidi="ar"/>
              </w:rPr>
              <w:t>（提供课程中两个知识点的详细教案设计</w:t>
            </w:r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，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其中一个内容与</w:t>
            </w:r>
            <w:r>
              <w:rPr>
                <w:rStyle w:val="font01"/>
                <w:rFonts w:eastAsia="MingLiU" w:hint="eastAsia"/>
                <w:sz w:val="21"/>
                <w:szCs w:val="21"/>
                <w:lang w:eastAsia="zh-CN" w:bidi="ar"/>
              </w:rPr>
              <w:t>20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分钟</w:t>
            </w:r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现场演示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课程思政教学</w:t>
            </w:r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节段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一致）</w:t>
            </w:r>
          </w:p>
        </w:tc>
      </w:tr>
      <w:tr w:rsidR="000269FE">
        <w:trPr>
          <w:trHeight w:val="4168"/>
        </w:trPr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lastRenderedPageBreak/>
              <w:t>课程思政建设成效</w:t>
            </w:r>
          </w:p>
        </w:tc>
        <w:tc>
          <w:tcPr>
            <w:tcW w:w="7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6B0D11">
            <w:pPr>
              <w:widowControl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（概述课程思政教学改革成效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，</w:t>
            </w:r>
            <w:r>
              <w:rPr>
                <w:rFonts w:ascii="Arial" w:eastAsia="MingLiU" w:hAnsi="Arial" w:cs="Arial"/>
                <w:sz w:val="18"/>
                <w:szCs w:val="18"/>
                <w:lang w:eastAsia="zh-CN" w:bidi="ar"/>
              </w:rPr>
              <w:t>500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字左右）</w:t>
            </w:r>
          </w:p>
        </w:tc>
      </w:tr>
      <w:tr w:rsidR="000269FE">
        <w:trPr>
          <w:trHeight w:val="3536"/>
        </w:trPr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学生反馈</w:t>
            </w:r>
          </w:p>
        </w:tc>
        <w:tc>
          <w:tcPr>
            <w:tcW w:w="7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6B0D11">
            <w:pPr>
              <w:widowControl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（学生的学习体会摘录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，</w:t>
            </w:r>
            <w:r>
              <w:rPr>
                <w:rFonts w:ascii="Arial" w:eastAsia="MingLiU" w:hAnsi="Arial" w:cs="Arial"/>
                <w:sz w:val="18"/>
                <w:szCs w:val="18"/>
                <w:lang w:eastAsia="zh-CN" w:bidi="ar"/>
              </w:rPr>
              <w:t>500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字左右）</w:t>
            </w:r>
          </w:p>
        </w:tc>
      </w:tr>
      <w:tr w:rsidR="000269FE">
        <w:trPr>
          <w:trHeight w:val="5662"/>
        </w:trPr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教学反思</w:t>
            </w:r>
          </w:p>
        </w:tc>
        <w:tc>
          <w:tcPr>
            <w:tcW w:w="7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</w:rPr>
            </w:pPr>
          </w:p>
        </w:tc>
      </w:tr>
    </w:tbl>
    <w:p w:rsidR="000269FE" w:rsidRDefault="000269FE"/>
    <w:sectPr w:rsidR="000269FE">
      <w:pgSz w:w="11900" w:h="16840"/>
      <w:pgMar w:top="1276" w:right="1276" w:bottom="1276" w:left="1276" w:header="3305" w:footer="3305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98" w:rsidRDefault="00B41298">
      <w:r>
        <w:separator/>
      </w:r>
    </w:p>
  </w:endnote>
  <w:endnote w:type="continuationSeparator" w:id="0">
    <w:p w:rsidR="00B41298" w:rsidRDefault="00B4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98" w:rsidRDefault="00B41298">
      <w:r>
        <w:separator/>
      </w:r>
    </w:p>
  </w:footnote>
  <w:footnote w:type="continuationSeparator" w:id="0">
    <w:p w:rsidR="00B41298" w:rsidRDefault="00B4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0AF6"/>
    <w:rsid w:val="000269FE"/>
    <w:rsid w:val="002A20EF"/>
    <w:rsid w:val="00536A92"/>
    <w:rsid w:val="006B0D11"/>
    <w:rsid w:val="00B41298"/>
    <w:rsid w:val="00C34A55"/>
    <w:rsid w:val="00E37ECE"/>
    <w:rsid w:val="2A4E270B"/>
    <w:rsid w:val="51C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49F00"/>
  <w15:docId w15:val="{E21F98DB-A3AE-41FE-BC93-39D419D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link w:val="Bodytext10"/>
    <w:qFormat/>
    <w:pPr>
      <w:spacing w:after="300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40"/>
      <w:ind w:firstLine="88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font11">
    <w:name w:val="font11"/>
    <w:basedOn w:val="a0"/>
    <w:rPr>
      <w:rFonts w:ascii="MingLiU" w:eastAsia="MingLiU" w:hAnsi="MingLiU" w:cs="MingLiU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14"/>
      <w:szCs w:val="14"/>
      <w:u w:val="none"/>
    </w:rPr>
  </w:style>
  <w:style w:type="character" w:customStyle="1" w:styleId="font21">
    <w:name w:val="font21"/>
    <w:basedOn w:val="a0"/>
    <w:qFormat/>
    <w:rPr>
      <w:rFonts w:ascii="MingLiU" w:eastAsia="MingLiU" w:hAnsi="MingLiU" w:cs="MingLiU" w:hint="default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16"/>
      <w:szCs w:val="16"/>
      <w:u w:val="none"/>
    </w:rPr>
  </w:style>
  <w:style w:type="paragraph" w:styleId="a3">
    <w:name w:val="header"/>
    <w:basedOn w:val="a"/>
    <w:link w:val="a4"/>
    <w:rsid w:val="00536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6A92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536A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6A92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Bodytext10">
    <w:name w:val="Body text|1_"/>
    <w:basedOn w:val="a0"/>
    <w:link w:val="Bodytext1"/>
    <w:qFormat/>
    <w:rsid w:val="00536A92"/>
    <w:rPr>
      <w:rFonts w:ascii="宋体" w:hAnsi="宋体" w:cs="宋体"/>
      <w:color w:val="000000"/>
      <w:sz w:val="34"/>
      <w:szCs w:val="3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与往事干杯</dc:creator>
  <cp:lastModifiedBy>Windows 用户</cp:lastModifiedBy>
  <cp:revision>5</cp:revision>
  <dcterms:created xsi:type="dcterms:W3CDTF">2022-04-09T03:00:00Z</dcterms:created>
  <dcterms:modified xsi:type="dcterms:W3CDTF">2022-10-09T02:31:00Z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73640A2B95ED48048EC52F5CA9FD0A34</vt:lpwstr>
  </property>
  <property fmtid="{D5CDD505-2E9C-101B-9397-08002B2CF9AE}" pid="4" name="commondata">
    <vt:lpwstr>eyJoZGlkIjoiMzIxYzcwOWVhZjVlZmI3NDExMTdjMWVkNWJmNGQ2NTEifQ==</vt:lpwstr>
  </property>
</Properties>
</file>