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s="仿宋" w:asciiTheme="minorEastAsia" w:hAnsiTheme="minorEastAsia"/>
          <w:sz w:val="32"/>
          <w:szCs w:val="32"/>
        </w:rPr>
      </w:pPr>
      <w:r>
        <w:rPr>
          <w:rFonts w:hint="eastAsia" w:cs="仿宋" w:asciiTheme="minorEastAsia" w:hAnsiTheme="minorEastAsia"/>
          <w:sz w:val="32"/>
          <w:szCs w:val="32"/>
        </w:rPr>
        <w:t>附件3：</w:t>
      </w:r>
    </w:p>
    <w:p>
      <w:pPr>
        <w:jc w:val="center"/>
        <w:rPr>
          <w:rFonts w:ascii="仿宋" w:hAnsi="仿宋" w:eastAsia="仿宋" w:cs="仿宋"/>
          <w:b/>
          <w:sz w:val="36"/>
          <w:szCs w:val="36"/>
        </w:rPr>
      </w:pPr>
      <w:r>
        <w:rPr>
          <w:rFonts w:hint="eastAsia" w:ascii="仿宋" w:hAnsi="仿宋" w:eastAsia="仿宋" w:cs="仿宋"/>
          <w:b/>
          <w:sz w:val="36"/>
          <w:szCs w:val="36"/>
        </w:rPr>
        <w:t>燕山大学课程思政教学竞赛评分表</w:t>
      </w:r>
    </w:p>
    <w:p>
      <w:pPr>
        <w:jc w:val="left"/>
        <w:rPr>
          <w:rFonts w:ascii="仿宋_GB2312" w:hAnsi="仿宋_GB2312" w:eastAsia="仿宋_GB2312" w:cs="仿宋_GB2312"/>
          <w:b/>
          <w:bCs/>
          <w:szCs w:val="21"/>
        </w:rPr>
      </w:pPr>
      <w:r>
        <w:rPr>
          <w:rFonts w:hint="eastAsia" w:ascii="仿宋_GB2312" w:hAnsi="仿宋_GB2312" w:eastAsia="仿宋_GB2312" w:cs="仿宋_GB2312"/>
          <w:b/>
          <w:bCs/>
          <w:szCs w:val="21"/>
        </w:rPr>
        <w:t>课程名称:                          任课教师:                        评委签字:</w:t>
      </w: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080"/>
        <w:gridCol w:w="5144"/>
        <w:gridCol w:w="108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271"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设计</w:t>
            </w:r>
          </w:p>
        </w:tc>
        <w:tc>
          <w:tcPr>
            <w:tcW w:w="108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35</w:t>
            </w: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备课充分，精心设计教学各个环节，有结合“课程思政”的教学目标、教学内容和教学方法设计。</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271"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知识讲授符合高校学生认知规律和教学实际。</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271"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w:t>
            </w:r>
          </w:p>
        </w:tc>
        <w:tc>
          <w:tcPr>
            <w:tcW w:w="108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35</w:t>
            </w: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善于提炼专业课程蕴含的思想政治教育元素，能将思想政治教育和专业知识传授融合，教学内容呈现恰当，教学活动组织合理。</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27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善于综合运用现代信息技术手段和数字资源把思政教育巧妙渗透教学全过程，教学方法运用恰当，教学策略使用有效。</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271"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注重教学互动，突出学生主体地位，调动学生参与课堂积极性。</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271"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效果</w:t>
            </w:r>
          </w:p>
        </w:tc>
        <w:tc>
          <w:tcPr>
            <w:tcW w:w="108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注重思想政治教育和价值引领，有效达成教学目标，效果明显。</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27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教学感染力强，课堂教学气氛好。</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271"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能够为学生搭建课外学习平台，引导学生进行自主学习和自主评价。</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271"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教师素养与创新特色</w:t>
            </w:r>
          </w:p>
        </w:tc>
        <w:tc>
          <w:tcPr>
            <w:tcW w:w="1080" w:type="dxa"/>
            <w:vMerge w:val="restart"/>
            <w:tcBorders>
              <w:top w:val="single" w:color="auto" w:sz="4" w:space="0"/>
              <w:left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具有良好的专业素养、科学精神、人文情怀；教态大方，举止得体，精神饱满，综合素质高；个人教学特色突出。</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271" w:type="dxa"/>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b/>
                <w:sz w:val="28"/>
                <w:szCs w:val="28"/>
              </w:rPr>
            </w:pPr>
          </w:p>
        </w:tc>
        <w:tc>
          <w:tcPr>
            <w:tcW w:w="1080" w:type="dxa"/>
            <w:vMerge w:val="continue"/>
            <w:tcBorders>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p>
        </w:tc>
        <w:tc>
          <w:tcPr>
            <w:tcW w:w="514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课堂教学能结合课程特色挖掘育人因素，课堂实施成效好，特色鲜明，具有较强的示范性。</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599E"/>
    <w:rsid w:val="000028C1"/>
    <w:rsid w:val="000A60E4"/>
    <w:rsid w:val="00117F7E"/>
    <w:rsid w:val="001C5DF9"/>
    <w:rsid w:val="0026425D"/>
    <w:rsid w:val="0035355A"/>
    <w:rsid w:val="0051233A"/>
    <w:rsid w:val="005A4246"/>
    <w:rsid w:val="006D756A"/>
    <w:rsid w:val="00781D7E"/>
    <w:rsid w:val="007B599E"/>
    <w:rsid w:val="00876CF8"/>
    <w:rsid w:val="00962CAC"/>
    <w:rsid w:val="009B021D"/>
    <w:rsid w:val="009C00E4"/>
    <w:rsid w:val="00AA4D9A"/>
    <w:rsid w:val="00AC1F36"/>
    <w:rsid w:val="00AD7841"/>
    <w:rsid w:val="00B24C83"/>
    <w:rsid w:val="00B92FCA"/>
    <w:rsid w:val="00DF4B16"/>
    <w:rsid w:val="00E374F0"/>
    <w:rsid w:val="00E44E6E"/>
    <w:rsid w:val="00E67510"/>
    <w:rsid w:val="00EB017E"/>
    <w:rsid w:val="00FF687D"/>
    <w:rsid w:val="1857484A"/>
    <w:rsid w:val="556D1CA8"/>
    <w:rsid w:val="66C9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87</Words>
  <Characters>500</Characters>
  <Lines>4</Lines>
  <Paragraphs>1</Paragraphs>
  <TotalTime>297</TotalTime>
  <ScaleCrop>false</ScaleCrop>
  <LinksUpToDate>false</LinksUpToDate>
  <CharactersWithSpaces>586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2018-10-24T01:32:00Z</dcterms:created>
  <dc:creator>李蓓春</dc:creator>
  <cp:lastModifiedBy>与往事干杯</cp:lastModifiedBy>
  <dcterms:modified xsi:type="dcterms:W3CDTF">2021-10-25T02:46:45Z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0D88C1225D4A4FD5B346051FA03B6B07</vt:lpwstr>
  </property>
</Properties>
</file>